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15" w:rsidRPr="001C6EA5" w:rsidRDefault="00EA69FB" w:rsidP="00EA4A15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b/>
          <w:sz w:val="28"/>
          <w:szCs w:val="18"/>
        </w:rPr>
      </w:pPr>
      <w:r>
        <w:rPr>
          <w:rFonts w:asciiTheme="majorHAnsi" w:eastAsia="ProximaNova-Light" w:hAnsiTheme="majorHAnsi" w:cstheme="minorHAnsi"/>
          <w:b/>
          <w:sz w:val="28"/>
          <w:szCs w:val="18"/>
        </w:rPr>
        <w:t>AQUANEXT FACILE</w:t>
      </w:r>
      <w:bookmarkStart w:id="0" w:name="_GoBack"/>
      <w:bookmarkEnd w:id="0"/>
      <w:r w:rsidR="008A529F">
        <w:rPr>
          <w:rFonts w:asciiTheme="majorHAnsi" w:eastAsia="ProximaNova-Light" w:hAnsiTheme="majorHAnsi" w:cstheme="minorHAnsi"/>
          <w:b/>
          <w:sz w:val="28"/>
          <w:szCs w:val="18"/>
        </w:rPr>
        <w:t xml:space="preserve"> 24</w:t>
      </w:r>
      <w:r w:rsidR="00AE6CB0">
        <w:rPr>
          <w:rFonts w:asciiTheme="majorHAnsi" w:eastAsia="ProximaNova-Light" w:hAnsiTheme="majorHAnsi" w:cstheme="minorHAnsi"/>
          <w:b/>
          <w:sz w:val="28"/>
          <w:szCs w:val="18"/>
        </w:rPr>
        <w:t>0</w:t>
      </w:r>
    </w:p>
    <w:p w:rsidR="00EA4A15" w:rsidRPr="001C6EA5" w:rsidRDefault="00EA4A15" w:rsidP="00EA4A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color w:val="333333"/>
          <w:sz w:val="24"/>
          <w:szCs w:val="24"/>
        </w:rPr>
      </w:pPr>
    </w:p>
    <w:p w:rsidR="00EA4A15" w:rsidRPr="001C6EA5" w:rsidRDefault="00EA4A15" w:rsidP="00EA4A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color w:val="333333"/>
          <w:sz w:val="24"/>
          <w:szCs w:val="24"/>
        </w:rPr>
      </w:pP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Scaldacqua a pompa di calore aria-acqua a pavimento per la produzione di acqua calda sanitaria. 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Capacità di accumulo 240 litri, con le seguenti caratteristiche: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Potenza termica media 1320 W *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Consumo elettrico medio 500W*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>
        <w:rPr>
          <w:rFonts w:asciiTheme="majorHAnsi" w:eastAsia="ProximaNova-Light" w:hAnsiTheme="majorHAnsi" w:cstheme="minorHAnsi"/>
          <w:sz w:val="24"/>
          <w:szCs w:val="18"/>
        </w:rPr>
        <w:t>- COP 2,79</w:t>
      </w:r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* 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Fluido refrigerante ecologico R 134a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- Compressore rotativo e ventilatore assiale modulante autoadattante con portata d’aria standard 400 m³/h, per la massima silenziosità di funzionamento (53 </w:t>
      </w:r>
      <w:proofErr w:type="spellStart"/>
      <w:r w:rsidRPr="008A529F">
        <w:rPr>
          <w:rFonts w:asciiTheme="majorHAnsi" w:eastAsia="ProximaNova-Light" w:hAnsiTheme="majorHAnsi" w:cstheme="minorHAnsi"/>
          <w:sz w:val="24"/>
          <w:szCs w:val="18"/>
        </w:rPr>
        <w:t>dbA</w:t>
      </w:r>
      <w:proofErr w:type="spellEnd"/>
      <w:r w:rsidRPr="008A529F">
        <w:rPr>
          <w:rFonts w:asciiTheme="majorHAnsi" w:eastAsia="ProximaNova-Light" w:hAnsiTheme="majorHAnsi" w:cstheme="minorHAnsi"/>
          <w:sz w:val="24"/>
          <w:szCs w:val="18"/>
        </w:rPr>
        <w:t>)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Condensatore a serpentino avvolto sull'esterno della virola senza alcun contatto con l'acqua sanitaria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Dispositivi di sicurezza per alta e bassa pressione del circuito gas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Elettrovalvola Hot-Gas per sbrinamento dell'evaporatore che permette al prodotto di funzionare fino a temperature dell'aria pari a -5°C evitando il congelamento dell'acqua di condensa (sistema "</w:t>
      </w:r>
      <w:proofErr w:type="spellStart"/>
      <w:r w:rsidRPr="008A529F">
        <w:rPr>
          <w:rFonts w:asciiTheme="majorHAnsi" w:eastAsia="ProximaNova-Light" w:hAnsiTheme="majorHAnsi" w:cstheme="minorHAnsi"/>
          <w:sz w:val="24"/>
          <w:szCs w:val="18"/>
        </w:rPr>
        <w:t>defrosting</w:t>
      </w:r>
      <w:proofErr w:type="spellEnd"/>
      <w:r w:rsidRPr="008A529F">
        <w:rPr>
          <w:rFonts w:asciiTheme="majorHAnsi" w:eastAsia="ProximaNova-Light" w:hAnsiTheme="majorHAnsi" w:cstheme="minorHAnsi"/>
          <w:sz w:val="24"/>
          <w:szCs w:val="18"/>
        </w:rPr>
        <w:t>")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Resistenza elettrica integrativa in steatite da 2 kW inserita in pozzetto smaltato per manutenzione e sostituzione senza svuotamento del prodotto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Caldaia smaltata con trattamento a 850°C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Doppio anodo anticorrosione in magnesio e Pro-</w:t>
      </w:r>
      <w:proofErr w:type="spellStart"/>
      <w:r w:rsidRPr="008A529F">
        <w:rPr>
          <w:rFonts w:asciiTheme="majorHAnsi" w:eastAsia="ProximaNova-Light" w:hAnsiTheme="majorHAnsi" w:cstheme="minorHAnsi"/>
          <w:sz w:val="24"/>
          <w:szCs w:val="18"/>
        </w:rPr>
        <w:t>Tech</w:t>
      </w:r>
      <w:proofErr w:type="spellEnd"/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 a correnti indotte che non necessita di manutenzione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Coibentato in poliuretano espanso con spessore 35 mm privo di CFC e HCFC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- Dispersioni termiche con set </w:t>
      </w:r>
      <w:proofErr w:type="spellStart"/>
      <w:r w:rsidRPr="008A529F">
        <w:rPr>
          <w:rFonts w:asciiTheme="majorHAnsi" w:eastAsia="ProximaNova-Light" w:hAnsiTheme="majorHAnsi" w:cstheme="minorHAnsi"/>
          <w:sz w:val="24"/>
          <w:szCs w:val="18"/>
        </w:rPr>
        <w:t>point</w:t>
      </w:r>
      <w:proofErr w:type="spellEnd"/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 bollitore a 55°C, 44 W</w:t>
      </w:r>
    </w:p>
    <w:p w:rsidR="001C6EA5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- Rivestimento esterno in lamiera di accia zincato e </w:t>
      </w:r>
      <w:proofErr w:type="spellStart"/>
      <w:r w:rsidRPr="008A529F">
        <w:rPr>
          <w:rFonts w:asciiTheme="majorHAnsi" w:eastAsia="ProximaNova-Light" w:hAnsiTheme="majorHAnsi" w:cstheme="minorHAnsi"/>
          <w:sz w:val="24"/>
          <w:szCs w:val="18"/>
        </w:rPr>
        <w:t>preverniciato</w:t>
      </w:r>
      <w:proofErr w:type="spellEnd"/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Modalità di funzionamento AUTO: lo scaldacqua apprende come raggiungere la temperatura desiderata in un limitato numero di ore, con un utilizzo razionale della pompa di calore e, solo se necessario, della resistenza elettrica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Modalità di funzionamento GREEN esclusivamente in pompa di calore, con temperature aria in ingresso tra -5 e 42°C, e temperatura massima raggiungibile acqua sanitaria 62°C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- Modalità di funzionamento BOOST contemporaneamente in pompa di calore e resistenza </w:t>
      </w:r>
      <w:r>
        <w:rPr>
          <w:rFonts w:asciiTheme="majorHAnsi" w:eastAsia="ProximaNova-Light" w:hAnsiTheme="majorHAnsi" w:cstheme="minorHAnsi"/>
          <w:sz w:val="24"/>
          <w:szCs w:val="18"/>
        </w:rPr>
        <w:t>e</w:t>
      </w:r>
      <w:r w:rsidRPr="008A529F">
        <w:rPr>
          <w:rFonts w:asciiTheme="majorHAnsi" w:eastAsia="ProximaNova-Light" w:hAnsiTheme="majorHAnsi" w:cstheme="minorHAnsi"/>
          <w:sz w:val="24"/>
          <w:szCs w:val="18"/>
        </w:rPr>
        <w:t>lettrica per la massima velocità di riscaldamento e temperatura massima raggiungibile acqua sanit</w:t>
      </w:r>
      <w:r>
        <w:rPr>
          <w:rFonts w:asciiTheme="majorHAnsi" w:eastAsia="ProximaNova-Light" w:hAnsiTheme="majorHAnsi" w:cstheme="minorHAnsi"/>
          <w:sz w:val="24"/>
          <w:szCs w:val="18"/>
        </w:rPr>
        <w:t>aria di 75°C. Una volta raggiun</w:t>
      </w:r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ta la temperatura, il funzionamento ritorna alla modalità AUTO. 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Modalità di funzionamento BOOST 2 contemporaneamente in pompa di calore e resistenza elettrica per la massima velocità di riscaldamento e temperatura massima raggiungibile di 75°C. La modalità resta sempre attiva.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Modalità di funzionamento PROGRAM: si hanno a disposizione 2 programmi P1 e P2 che possono agire sia singolarmente che in abbinamento tra loro durante la giornata (P1+P2). L'apparecchio sarà in grado di attivare la fase di riscaldamento per raggi</w:t>
      </w:r>
      <w:r>
        <w:rPr>
          <w:rFonts w:asciiTheme="majorHAnsi" w:eastAsia="ProximaNova-Light" w:hAnsiTheme="majorHAnsi" w:cstheme="minorHAnsi"/>
          <w:sz w:val="24"/>
          <w:szCs w:val="18"/>
        </w:rPr>
        <w:t>u</w:t>
      </w:r>
      <w:r w:rsidRPr="008A529F">
        <w:rPr>
          <w:rFonts w:asciiTheme="majorHAnsi" w:eastAsia="ProximaNova-Light" w:hAnsiTheme="majorHAnsi" w:cstheme="minorHAnsi"/>
          <w:sz w:val="24"/>
          <w:szCs w:val="18"/>
        </w:rPr>
        <w:t>ngere la temperatura scelta nell'orario prefissato, dando priorità al riscaldamento tramite pompa di calore e, solo se necessario, tramite la resistenza elettrica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- Funzione </w:t>
      </w:r>
      <w:proofErr w:type="spellStart"/>
      <w:r w:rsidRPr="008A529F">
        <w:rPr>
          <w:rFonts w:asciiTheme="majorHAnsi" w:eastAsia="ProximaNova-Light" w:hAnsiTheme="majorHAnsi" w:cstheme="minorHAnsi"/>
          <w:sz w:val="24"/>
          <w:szCs w:val="18"/>
        </w:rPr>
        <w:t>antilegionella</w:t>
      </w:r>
      <w:proofErr w:type="spellEnd"/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 per la sanificazione termica dell'acqua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Funzione VOYAGE per lo spegnimento della macchina nei periodi di assenza dall'abitazione per più giorni e riattivazione prima del rientro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- Display </w:t>
      </w:r>
      <w:r>
        <w:rPr>
          <w:rFonts w:asciiTheme="majorHAnsi" w:eastAsia="ProximaNova-Light" w:hAnsiTheme="majorHAnsi" w:cstheme="minorHAnsi"/>
          <w:sz w:val="24"/>
          <w:szCs w:val="18"/>
        </w:rPr>
        <w:t xml:space="preserve">digitale </w:t>
      </w:r>
      <w:proofErr w:type="spellStart"/>
      <w:r>
        <w:rPr>
          <w:rFonts w:asciiTheme="majorHAnsi" w:eastAsia="ProximaNova-Light" w:hAnsiTheme="majorHAnsi" w:cstheme="minorHAnsi"/>
          <w:sz w:val="24"/>
          <w:szCs w:val="18"/>
        </w:rPr>
        <w:t>user</w:t>
      </w:r>
      <w:proofErr w:type="spellEnd"/>
      <w:r>
        <w:rPr>
          <w:rFonts w:asciiTheme="majorHAnsi" w:eastAsia="ProximaNova-Light" w:hAnsiTheme="majorHAnsi" w:cstheme="minorHAnsi"/>
          <w:sz w:val="24"/>
          <w:szCs w:val="18"/>
        </w:rPr>
        <w:t xml:space="preserve"> </w:t>
      </w:r>
      <w:proofErr w:type="spellStart"/>
      <w:r>
        <w:rPr>
          <w:rFonts w:asciiTheme="majorHAnsi" w:eastAsia="ProximaNova-Light" w:hAnsiTheme="majorHAnsi" w:cstheme="minorHAnsi"/>
          <w:sz w:val="24"/>
          <w:szCs w:val="18"/>
        </w:rPr>
        <w:t>friendly</w:t>
      </w:r>
      <w:proofErr w:type="spellEnd"/>
      <w:r>
        <w:rPr>
          <w:rFonts w:asciiTheme="majorHAnsi" w:eastAsia="ProximaNova-Light" w:hAnsiTheme="majorHAnsi" w:cstheme="minorHAnsi"/>
          <w:sz w:val="24"/>
          <w:szCs w:val="18"/>
        </w:rPr>
        <w:t xml:space="preserve"> con mano</w:t>
      </w:r>
      <w:r w:rsidRPr="008A529F">
        <w:rPr>
          <w:rFonts w:asciiTheme="majorHAnsi" w:eastAsia="ProximaNova-Light" w:hAnsiTheme="majorHAnsi" w:cstheme="minorHAnsi"/>
          <w:sz w:val="24"/>
          <w:szCs w:val="18"/>
        </w:rPr>
        <w:t>pola centrale e due tasti di conferma per impostazione e visualizzazione delle temperature, della programmazione, della modalità di funzionamento e dei guasti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lastRenderedPageBreak/>
        <w:t xml:space="preserve">- Attacchi espulsione e aspirazione aria </w:t>
      </w:r>
      <w:proofErr w:type="spellStart"/>
      <w:r w:rsidRPr="008A529F">
        <w:rPr>
          <w:rFonts w:asciiTheme="majorHAnsi" w:eastAsia="ProximaNova-Light" w:hAnsiTheme="majorHAnsi" w:cstheme="minorHAnsi"/>
          <w:sz w:val="24"/>
          <w:szCs w:val="18"/>
        </w:rPr>
        <w:t>multidiametro</w:t>
      </w:r>
      <w:proofErr w:type="spellEnd"/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 da Ø 150, 160, 200 mm con griglie protettive di serie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>
        <w:rPr>
          <w:rFonts w:asciiTheme="majorHAnsi" w:eastAsia="ProximaNova-Light" w:hAnsiTheme="majorHAnsi" w:cstheme="minorHAnsi"/>
          <w:sz w:val="24"/>
          <w:szCs w:val="18"/>
        </w:rPr>
        <w:t xml:space="preserve">- </w:t>
      </w:r>
      <w:proofErr w:type="spellStart"/>
      <w:r>
        <w:rPr>
          <w:rFonts w:asciiTheme="majorHAnsi" w:eastAsia="ProximaNova-Light" w:hAnsiTheme="majorHAnsi" w:cstheme="minorHAnsi"/>
          <w:sz w:val="24"/>
          <w:szCs w:val="18"/>
        </w:rPr>
        <w:t>Sdoppiatore</w:t>
      </w:r>
      <w:proofErr w:type="spellEnd"/>
      <w:r>
        <w:rPr>
          <w:rFonts w:asciiTheme="majorHAnsi" w:eastAsia="ProximaNova-Light" w:hAnsiTheme="majorHAnsi" w:cstheme="minorHAnsi"/>
          <w:sz w:val="24"/>
          <w:szCs w:val="18"/>
        </w:rPr>
        <w:t xml:space="preserve"> uscita aria int</w:t>
      </w:r>
      <w:r w:rsidRPr="008A529F">
        <w:rPr>
          <w:rFonts w:asciiTheme="majorHAnsi" w:eastAsia="ProximaNova-Light" w:hAnsiTheme="majorHAnsi" w:cstheme="minorHAnsi"/>
          <w:sz w:val="24"/>
          <w:szCs w:val="18"/>
        </w:rPr>
        <w:t>egrato nel prodotto verso l'alto o verso destra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- Possibilità di canalizzazione dell'aria di ingresso ed uscita fino ad una perdita di carico massima pari a 55 </w:t>
      </w:r>
      <w:proofErr w:type="spellStart"/>
      <w:r w:rsidRPr="008A529F">
        <w:rPr>
          <w:rFonts w:asciiTheme="majorHAnsi" w:eastAsia="ProximaNova-Light" w:hAnsiTheme="majorHAnsi" w:cstheme="minorHAnsi"/>
          <w:sz w:val="24"/>
          <w:szCs w:val="18"/>
        </w:rPr>
        <w:t>Pa</w:t>
      </w:r>
      <w:proofErr w:type="spellEnd"/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 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 xml:space="preserve">- Raccordi idraulici posizionati sulla destra della virola a 45° e 90° per attacco d scarico condensa </w:t>
      </w:r>
    </w:p>
    <w:p w:rsidR="008A529F" w:rsidRP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Trasportabile anche in orizzontale appoggiando sul retro e dotato di cinghie per movimentazione indoor</w:t>
      </w:r>
    </w:p>
    <w:p w:rsid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  <w:r w:rsidRPr="008A529F">
        <w:rPr>
          <w:rFonts w:asciiTheme="majorHAnsi" w:eastAsia="ProximaNova-Light" w:hAnsiTheme="majorHAnsi" w:cstheme="minorHAnsi"/>
          <w:sz w:val="24"/>
          <w:szCs w:val="18"/>
        </w:rPr>
        <w:t>- Piedini regolabili per livellamento</w:t>
      </w:r>
    </w:p>
    <w:p w:rsidR="008A529F" w:rsidRDefault="008A529F" w:rsidP="008A529F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</w:p>
    <w:p w:rsidR="009E7A04" w:rsidRDefault="009E7A04" w:rsidP="001C6EA5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4"/>
          <w:szCs w:val="18"/>
        </w:rPr>
      </w:pPr>
    </w:p>
    <w:p w:rsidR="001C6EA5" w:rsidRPr="001C6EA5" w:rsidRDefault="001C6EA5" w:rsidP="001C6EA5">
      <w:pPr>
        <w:autoSpaceDE w:val="0"/>
        <w:autoSpaceDN w:val="0"/>
        <w:adjustRightInd w:val="0"/>
        <w:spacing w:after="0" w:line="240" w:lineRule="auto"/>
        <w:rPr>
          <w:rFonts w:asciiTheme="majorHAnsi" w:eastAsia="ProximaNova-Light" w:hAnsiTheme="majorHAnsi" w:cstheme="minorHAnsi"/>
          <w:sz w:val="20"/>
          <w:szCs w:val="18"/>
        </w:rPr>
      </w:pPr>
      <w:proofErr w:type="gramStart"/>
      <w:r w:rsidRPr="001C6EA5">
        <w:rPr>
          <w:rFonts w:asciiTheme="majorHAnsi" w:eastAsia="ProximaNova-Light" w:hAnsiTheme="majorHAnsi" w:cstheme="minorHAnsi"/>
          <w:sz w:val="20"/>
          <w:szCs w:val="18"/>
        </w:rPr>
        <w:t>*  valori</w:t>
      </w:r>
      <w:proofErr w:type="gramEnd"/>
      <w:r w:rsidRPr="001C6EA5">
        <w:rPr>
          <w:rFonts w:asciiTheme="majorHAnsi" w:eastAsia="ProximaNova-Light" w:hAnsiTheme="majorHAnsi" w:cstheme="minorHAnsi"/>
          <w:sz w:val="20"/>
          <w:szCs w:val="18"/>
        </w:rPr>
        <w:t xml:space="preserve"> ottenuti, con temperatura dell’aria 7°C e umidità relativa 87%, temperatura dell’acqua in ingresso 10°C secondo quanto previsto dalla EN 16147</w:t>
      </w:r>
    </w:p>
    <w:sectPr w:rsidR="001C6EA5" w:rsidRPr="001C6E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roximaNova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15"/>
    <w:rsid w:val="00063522"/>
    <w:rsid w:val="000C23E9"/>
    <w:rsid w:val="001C6EA5"/>
    <w:rsid w:val="0042094B"/>
    <w:rsid w:val="004E5E26"/>
    <w:rsid w:val="00874F03"/>
    <w:rsid w:val="008835FE"/>
    <w:rsid w:val="008A529F"/>
    <w:rsid w:val="0097390A"/>
    <w:rsid w:val="009E7A04"/>
    <w:rsid w:val="00AE6CB0"/>
    <w:rsid w:val="00B34B1D"/>
    <w:rsid w:val="00CF1890"/>
    <w:rsid w:val="00D02860"/>
    <w:rsid w:val="00D8692D"/>
    <w:rsid w:val="00E34CFD"/>
    <w:rsid w:val="00EA4A15"/>
    <w:rsid w:val="00EA69FB"/>
    <w:rsid w:val="00EA70EE"/>
    <w:rsid w:val="00EC0041"/>
    <w:rsid w:val="00E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398E8-6870-44DD-ACD7-0680B76C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Gennari</dc:creator>
  <cp:keywords/>
  <dc:description/>
  <cp:lastModifiedBy>Andrea Gennari</cp:lastModifiedBy>
  <cp:revision>14</cp:revision>
  <dcterms:created xsi:type="dcterms:W3CDTF">2016-06-22T08:04:00Z</dcterms:created>
  <dcterms:modified xsi:type="dcterms:W3CDTF">2018-02-23T16:33:00Z</dcterms:modified>
</cp:coreProperties>
</file>